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>3 ноября 2021 г.</w:t>
      </w:r>
    </w:p>
    <w:p w:rsidR="004E4A69" w:rsidRPr="004E4A69" w:rsidRDefault="004E4A69" w:rsidP="004E4A69">
      <w:pPr>
        <w:spacing w:line="240" w:lineRule="atLeast"/>
        <w:ind w:firstLine="709"/>
        <w:jc w:val="both"/>
        <w:outlineLvl w:val="0"/>
        <w:rPr>
          <w:b/>
          <w:bCs/>
          <w:kern w:val="36"/>
        </w:rPr>
      </w:pPr>
      <w:bookmarkStart w:id="0" w:name="_GoBack"/>
      <w:r w:rsidRPr="004E4A69">
        <w:rPr>
          <w:b/>
          <w:bCs/>
          <w:kern w:val="36"/>
        </w:rPr>
        <w:t xml:space="preserve">Постановление правительства Брянской области от 3 ноября 2021 года № 468-п "О внесении изменений в постановление Правительства Брянской области от 17 марта 2020 года № 106-п "О введении режима повышенной готовности на территории Брянской области" </w:t>
      </w:r>
    </w:p>
    <w:bookmarkEnd w:id="0"/>
    <w:p w:rsidR="004E4A69" w:rsidRPr="004E4A69" w:rsidRDefault="004E4A69" w:rsidP="004E4A69">
      <w:pPr>
        <w:spacing w:line="240" w:lineRule="atLeast"/>
        <w:ind w:firstLine="709"/>
        <w:jc w:val="both"/>
      </w:pPr>
      <w:proofErr w:type="gramStart"/>
      <w:r w:rsidRPr="004E4A69">
        <w:t xml:space="preserve">В соответствии с подпунктом "б" пункта 6 статьи 4.1 Федерального закона от 21 декабря 1994 года № 68-ФЗ "О защите населения и территорий от чрезвычайных ситуаций природного и техногенного характера", Законом Брянской области от 30 декабря 2005 года № 122-З "О защите населения и территорий Брянской области от чрезвычайных ситуаций природного и техногенного характера", Указом Президента Российской Федерации </w:t>
      </w:r>
      <w:hyperlink r:id="rId5" w:history="1">
        <w:r w:rsidRPr="004E4A69">
          <w:rPr>
            <w:color w:val="0000FF"/>
            <w:u w:val="single"/>
          </w:rPr>
          <w:t>от 11 мая 2020</w:t>
        </w:r>
        <w:proofErr w:type="gramEnd"/>
        <w:r w:rsidRPr="004E4A69">
          <w:rPr>
            <w:color w:val="0000FF"/>
            <w:u w:val="single"/>
          </w:rPr>
          <w:t xml:space="preserve"> года № 316</w:t>
        </w:r>
      </w:hyperlink>
      <w:r w:rsidRPr="004E4A69">
        <w:t xml:space="preserve">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4E4A69">
        <w:t>коронавирусной</w:t>
      </w:r>
      <w:proofErr w:type="spellEnd"/>
      <w:r w:rsidRPr="004E4A69">
        <w:t xml:space="preserve"> инфекции (COVID-19)", на основании предложения главного государственного санитарного врача по Брянской области от 2 ноября 2021 года № 10976 Правительство Брянской области </w:t>
      </w:r>
      <w:r w:rsidRPr="004E4A69">
        <w:rPr>
          <w:b/>
          <w:bCs/>
        </w:rPr>
        <w:t>постановляет: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 xml:space="preserve">1. </w:t>
      </w:r>
      <w:proofErr w:type="gramStart"/>
      <w:r w:rsidRPr="004E4A69">
        <w:t xml:space="preserve">Внести в постановление Правительства Брянской области </w:t>
      </w:r>
      <w:hyperlink r:id="rId6" w:history="1">
        <w:r w:rsidRPr="004E4A69">
          <w:rPr>
            <w:color w:val="0000FF"/>
            <w:u w:val="single"/>
          </w:rPr>
          <w:t>от 17 марта 2020 года № 106-п</w:t>
        </w:r>
      </w:hyperlink>
      <w:r w:rsidRPr="004E4A69">
        <w:t xml:space="preserve"> "О введении режима повышенной готовности на территории Брянской области" (в редакции постановлений Правительства Брянской области от 27 марта 2020 года № 126-п, от 30 марта 2020 года № 127-п, от 31 марта 2020 года № 130-п, от 3 апреля 2020 года № 136-п, от 30 апреля 2020 года № 177-п, от 6 мая</w:t>
      </w:r>
      <w:proofErr w:type="gramEnd"/>
      <w:r w:rsidRPr="004E4A69">
        <w:t xml:space="preserve"> </w:t>
      </w:r>
      <w:proofErr w:type="gramStart"/>
      <w:r w:rsidRPr="004E4A69">
        <w:t>2020 года № 179-п, от 8 мая 2020 года № 182-п, от 29 мая 2020 года № 235-п, от 9 июня 2020 года № 243-п, от 22 июня 2020 года № 267-п, от 26 июня 2020 года № 272-п, от 6 июля 2020 года № 283-п, от 13 июля 2020 года № 290-п, от 27 июля 2020 года № 305-п, от 13 августа 2020 года № 370-п, от 20 августа</w:t>
      </w:r>
      <w:proofErr w:type="gramEnd"/>
      <w:r w:rsidRPr="004E4A69">
        <w:t xml:space="preserve"> </w:t>
      </w:r>
      <w:proofErr w:type="gramStart"/>
      <w:r w:rsidRPr="004E4A69">
        <w:t>2020 года № 384-п, от 28 августа 2020 года № 413-п, от 19 октября 2020 года № 472-п, от 20 октября 2020 № 475-п, от 29 октября 2020 года № 499-п, от 6 ноября 2020 года № 500-п, от 9 ноября 2020 года № 503-п, от 16 ноября 2020 года № 506-п, от 23 ноября 2020 года № 539-п, от 30 ноября 2020 года № 557-п, от 4 декабря 2020</w:t>
      </w:r>
      <w:proofErr w:type="gramEnd"/>
      <w:r w:rsidRPr="004E4A69">
        <w:t xml:space="preserve"> </w:t>
      </w:r>
      <w:proofErr w:type="gramStart"/>
      <w:r w:rsidRPr="004E4A69">
        <w:t>года № 573-п, от 14 декабря 2020 года № 592-п, от 18 декабря 2020 года № 617-п, от 21 декабря 2020 года 621-п, от 28 декабря 2020 года № 705-п, от 13 января 2021 года № 4-п, от 28 января 2021 года № 25-п, от 15 февраля 2021 года № 47-п, от 1 марта 2021 года № 55-п, от 24 мая 2021 года № 181-п, от 16 июня 2021</w:t>
      </w:r>
      <w:proofErr w:type="gramEnd"/>
      <w:r w:rsidRPr="004E4A69">
        <w:t xml:space="preserve"> </w:t>
      </w:r>
      <w:proofErr w:type="gramStart"/>
      <w:r w:rsidRPr="004E4A69">
        <w:t>года № 203-п, от 24 июня 2021 года № 215-п, от 12 июля 2021 года № 249-п, от 26 июля 2021 года № 284-п, от 29 июля 2021 года № 290-п, от 13 августа 2021 года № 326-п, от 26 августа 2021 года № 345-п, от 1 сентября 2021 года № 359-п, от 7 сентября 2021 года № 362-п, от 7 октября 2021 года № 418-п, от 13 октября 2021</w:t>
      </w:r>
      <w:proofErr w:type="gramEnd"/>
      <w:r w:rsidRPr="004E4A69">
        <w:t xml:space="preserve"> года № 430-п, от 22 октября 2021 года № 449-п) следующие изменения: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>1.1. Пункт 2 изложить в редакции: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>"2. Запретить на период действия режима повышенной готовности проведение на территории Брянской области зрелищных, публичных и иных массовых мероприятий.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proofErr w:type="gramStart"/>
      <w:r w:rsidRPr="004E4A69">
        <w:t xml:space="preserve">Данный запрет не распространяется на проведение на территории Брянской области зрелищных, публичных и иных массовых мероприятий при условии согласования с управлением </w:t>
      </w:r>
      <w:proofErr w:type="spellStart"/>
      <w:r w:rsidRPr="004E4A69">
        <w:t>Роспотребнадзора</w:t>
      </w:r>
      <w:proofErr w:type="spellEnd"/>
      <w:r w:rsidRPr="004E4A69">
        <w:t xml:space="preserve"> по Брянской области, соблюдения участниками мероприятий ограничений, установленных настоящим постановлением, а также предписаний и рекомендаций Федеральной службы по надзору в сфере защиты прав потребителей и благополучия человека, управления </w:t>
      </w:r>
      <w:proofErr w:type="spellStart"/>
      <w:r w:rsidRPr="004E4A69">
        <w:t>Роспотребнадзора</w:t>
      </w:r>
      <w:proofErr w:type="spellEnd"/>
      <w:r w:rsidRPr="004E4A69">
        <w:t xml:space="preserve"> по Брянской области.</w:t>
      </w:r>
      <w:proofErr w:type="gramEnd"/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 xml:space="preserve">2.1. </w:t>
      </w:r>
      <w:proofErr w:type="gramStart"/>
      <w:r w:rsidRPr="004E4A69">
        <w:t>С 15 ноября 2021 года возобновить проведение зрелищных, публичных и иных массовых мероприятий при условии присутствия не более 100 человек и при наличии у всех участников (за исключением лиц, не достигших возраста 18 лет) QR-кода (в электронном виде или на бумажном носителе), полученного с использованием специализированного приложения Единого портала государственных и муниципальных услуг, или сертификата, подтверждающих получение гражданином второго компонента</w:t>
      </w:r>
      <w:proofErr w:type="gramEnd"/>
      <w:r w:rsidRPr="004E4A69">
        <w:t xml:space="preserve"> </w:t>
      </w:r>
      <w:proofErr w:type="gramStart"/>
      <w:r w:rsidRPr="004E4A69">
        <w:lastRenderedPageBreak/>
        <w:t xml:space="preserve">вакцины от новой </w:t>
      </w:r>
      <w:proofErr w:type="spellStart"/>
      <w:r w:rsidRPr="004E4A69">
        <w:t>коронавирусной</w:t>
      </w:r>
      <w:proofErr w:type="spellEnd"/>
      <w:r w:rsidRPr="004E4A69">
        <w:t xml:space="preserve"> инфекции (COVID-19) или однокомпонентной вакцины, прошедшей государственную регистрацию в Российской Феде-рации, или подтверждающих, что гражданин перенес новую </w:t>
      </w:r>
      <w:proofErr w:type="spellStart"/>
      <w:r w:rsidRPr="004E4A69">
        <w:t>коронавирусную</w:t>
      </w:r>
      <w:proofErr w:type="spellEnd"/>
      <w:r w:rsidRPr="004E4A69">
        <w:t xml:space="preserve"> инфекцию (COVID-19) и с даты его выздоровления прошло не более 6 календарных месяцев (далее - QR-код, сертификат), либо справки, подтверждающей получение гражданином второго компонента вакцины от новой </w:t>
      </w:r>
      <w:proofErr w:type="spellStart"/>
      <w:r w:rsidRPr="004E4A69">
        <w:t>коронавирусной</w:t>
      </w:r>
      <w:proofErr w:type="spellEnd"/>
      <w:r w:rsidRPr="004E4A69">
        <w:t xml:space="preserve"> инфекции (COVID-19) или однокомпонентной вакцины, прошедшей государственную регистрацию в Российской Федерации</w:t>
      </w:r>
      <w:proofErr w:type="gramEnd"/>
      <w:r w:rsidRPr="004E4A69">
        <w:t xml:space="preserve">, </w:t>
      </w:r>
      <w:proofErr w:type="gramStart"/>
      <w:r w:rsidRPr="004E4A69">
        <w:t xml:space="preserve">или подтверждающей, что гражданин перенес новую </w:t>
      </w:r>
      <w:proofErr w:type="spellStart"/>
      <w:r w:rsidRPr="004E4A69">
        <w:t>коронавирусную</w:t>
      </w:r>
      <w:proofErr w:type="spellEnd"/>
      <w:r w:rsidRPr="004E4A69">
        <w:t xml:space="preserve"> инфекцию (COVID-19) и с даты его выздоровления прошло не более 6 календарных месяцев, выданной медицинской организацией (далее - справка о вакцинации, о перенесенной новой </w:t>
      </w:r>
      <w:proofErr w:type="spellStart"/>
      <w:r w:rsidRPr="004E4A69">
        <w:t>коронавирусной</w:t>
      </w:r>
      <w:proofErr w:type="spellEnd"/>
      <w:r w:rsidRPr="004E4A69">
        <w:t xml:space="preserve"> инфекции), либо документа, подтверждающего отрицательный результат лабораторного исследования на наличие новой </w:t>
      </w:r>
      <w:proofErr w:type="spellStart"/>
      <w:r w:rsidRPr="004E4A69">
        <w:t>коронавирусной</w:t>
      </w:r>
      <w:proofErr w:type="spellEnd"/>
      <w:r w:rsidRPr="004E4A69">
        <w:t xml:space="preserve"> инфекции (COVID-19), срок действия которого составляет не более чем 72 часа со дня проведения исследования (далее - ПЦР-тест).</w:t>
      </w:r>
      <w:proofErr w:type="gramEnd"/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 xml:space="preserve">2.2. </w:t>
      </w:r>
      <w:proofErr w:type="gramStart"/>
      <w:r w:rsidRPr="004E4A69">
        <w:t>С 10 ноября 2021 года возобновить проведение спортивных, физкультурных мероприятий при условии присутствия зрителей в объеме не более 10 процентов от общей вместимости места проведения мероприятия (но не более 500 человек) и при наличии у всех участников соответствующего мероприятия, в том числе спортсменов, тренеров, судей, иных лиц, обеспечивающих его проведение, а также посетителей (за исключением участников и посетителей, не достигших</w:t>
      </w:r>
      <w:proofErr w:type="gramEnd"/>
      <w:r w:rsidRPr="004E4A69">
        <w:t xml:space="preserve"> возраста 18 лет) QR-кода, сертификата, либо справки о вакцинации, о перенесенной новой </w:t>
      </w:r>
      <w:proofErr w:type="spellStart"/>
      <w:r w:rsidRPr="004E4A69">
        <w:t>коронавирусной</w:t>
      </w:r>
      <w:proofErr w:type="spellEnd"/>
      <w:r w:rsidRPr="004E4A69">
        <w:t xml:space="preserve"> инфекции, либо ПЦР-теста.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>Организация и проведение спортивных мероприятий муниципального, регионального и межрегионального уровней для населения в возрасте до 18 лет в рамках реализации календарного плана официальных физкультурных и спортивных мероприятий Брянской области запрещена.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 xml:space="preserve">2.3. </w:t>
      </w:r>
      <w:proofErr w:type="gramStart"/>
      <w:r w:rsidRPr="004E4A69">
        <w:t>С 15 ноября 2021 года возобновить работу организаций и индивидуальных предпринимателей, осуществляющих деятельность творческую, деятельность в области искусства и организации развлечений (код ОКВЭД 2 90), деятельность в области демонстрации кинофильмов (код ОКВЭД 2 59.14), организаций культуры (театров, музеев, концертных залов, цирка) при условии присутствия посетителей в объеме не более 70 процентов от общей вместимости места проведения мероприятия и при организации</w:t>
      </w:r>
      <w:proofErr w:type="gramEnd"/>
      <w:r w:rsidRPr="004E4A69">
        <w:t xml:space="preserve"> допуска посетителей (за исключением лиц, не достигших возраста 18 лет) при наличии у них QR-кода, сертификата, либо справки о вакцинации, о перенесенной новой </w:t>
      </w:r>
      <w:proofErr w:type="spellStart"/>
      <w:r w:rsidRPr="004E4A69">
        <w:t>коронавирусной</w:t>
      </w:r>
      <w:proofErr w:type="spellEnd"/>
      <w:r w:rsidRPr="004E4A69">
        <w:t xml:space="preserve"> инфекции, либо ПЦР-теста.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>2.4. С 15 ноября 2021 года возобновить работу организаций и индивидуальных предпринимателей, осуществляющих деятельность по предоставлению продуктов питания и напитков (код ОКВЭД 2 56), включая рестораны, кафе, столовые, буфеты, бары, закусочные и иные предприятия общественного питания, в том числе с организацией досуга потребителей, при соблюдении следующих ограничений: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>осуществление деятельности до 23.00 по местному времени;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>проведение банкетов, торжественных мероприятий, в том числе свадеб, юбилеев, корпоративных мероприятий, проведение поминальных мероприятий при одновременном нахождении в организациях общественного питания, в которых проводятся соответствующие мероприятия, предельного количества лиц исходя из расчета 1 человек на 4 кв. м, но не более 30 человек;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>оказание услуг общественного питания при условии одновременной загрузки не более чем на 70 процентов посадочных мест, расположенных в помещениях, где оказываются услуги общественного питания;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 xml:space="preserve">допуск посетителей (за исключением лиц, не достигших возраста 18 лет) при условии наличия у них QR-кода, сертификата, либо справки о вакцинации, о перенесенной новой </w:t>
      </w:r>
      <w:proofErr w:type="spellStart"/>
      <w:r w:rsidRPr="004E4A69">
        <w:t>коронавирусной</w:t>
      </w:r>
      <w:proofErr w:type="spellEnd"/>
      <w:r w:rsidRPr="004E4A69">
        <w:t xml:space="preserve"> инфекции, либо ПЦР-теста.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proofErr w:type="gramStart"/>
      <w:r w:rsidRPr="004E4A69">
        <w:lastRenderedPageBreak/>
        <w:t>Ограничения, установленные настоящим подпунктом, не распространяются на деятельность по производству продукции общественного питания с возможностью доставки потребителям, по обслуживанию потребителей на вынос (вывоз) без посещения гражданами помещений предприятий общественного питания, по обслуживанию потребителей в номерах гостиниц и других средствах размещения, по обслуживанию потребителей в пути следования пассажирского транспорта, а также деятельность столовых, буфетов, кафе и иных предприятий общественного питания, осуществляющих</w:t>
      </w:r>
      <w:proofErr w:type="gramEnd"/>
      <w:r w:rsidRPr="004E4A69">
        <w:t xml:space="preserve"> организацию питания для работников предприятий и организаций (предприятия закрытого типа, обслуживающие определенный контингент потребителей).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>2.5. Запретить курение кальянов в ресторанах, кафе, столовых, буфетах, барах, закусочных и иных предприятиях общественного питания.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>2.6. Приостановить деятельность детских развлекательных центров и детских игровых комнат, размещаемых в торговых и культурно-досуговых центрах, павильонах и прочих объектах нежилого назначения, при отсутствии лицензии на осуществление образовательной деятельности по подвидам дополнительного образования.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>2.7. Запретить нахождение лиц, не достигших возраста 18 лет, без сопровождения родителей (законных представителей) в торговых и торгово-развлекательных центрах, а также в организациях общественного питания.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 xml:space="preserve">2.8. </w:t>
      </w:r>
      <w:proofErr w:type="gramStart"/>
      <w:r w:rsidRPr="004E4A69">
        <w:t xml:space="preserve">С 15 ноября 2021 года возобновить деятельность объектов розничной торговли при условии организации допуска посетителей (за исключением лиц, не достигших возраста 18 лет) в здания, строения, сооружения (помещения в них) площадью более 100 кв. м, в которых осуществляется реализация товаров, при наличии у них QR-кода, сертификата, либо справки о вакцинации, о перенесенной новой </w:t>
      </w:r>
      <w:proofErr w:type="spellStart"/>
      <w:r w:rsidRPr="004E4A69">
        <w:t>коронавирусной</w:t>
      </w:r>
      <w:proofErr w:type="spellEnd"/>
      <w:r w:rsidRPr="004E4A69">
        <w:t xml:space="preserve"> инфекции, либо ПЦР-теста.</w:t>
      </w:r>
      <w:proofErr w:type="gramEnd"/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>Ограничения по организации допуска посетителей, установленные настоящим подпунктом, не распространяются на аптеки и аптечные пункты; объекты розничной торговли в части реализации продовольственных товаров и (или) непродовольственных товаров первой необходимости, определенных распоряжением Правительства Российской Федерации от 27 марта 2020 года № 762-р; объекты розничной торговли в части реализации товаров для детей; объекты розничной торговли в части продажи товаров дистанционным способом, в том числе с условием доставки, объекты розничной торговли, площадь зданий, строений, сооружений (помещений в них), в которых осуществляется реализация товаров, составляет менее 100 кв. м.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 xml:space="preserve">2.9. </w:t>
      </w:r>
      <w:proofErr w:type="gramStart"/>
      <w:r w:rsidRPr="004E4A69">
        <w:t xml:space="preserve">С 15 ноября 2021 года возобновить деятельность организаций и индивидуальных предпринимателей, оказывающих бытовые услуги, при условии организации допуска посетителей (за исключением лиц, не достигших возраста 18 лет) в здания, строения, сооружения (помещения в них) площадью более 100 кв. м, в которых осуществляется оказание услуг, при наличии у них QR-кода, сертификата, либо справки о вакцинации, о перенесенной новой </w:t>
      </w:r>
      <w:proofErr w:type="spellStart"/>
      <w:r w:rsidRPr="004E4A69">
        <w:t>коронавирусной</w:t>
      </w:r>
      <w:proofErr w:type="spellEnd"/>
      <w:r w:rsidRPr="004E4A69">
        <w:t xml:space="preserve"> инфекции, либо</w:t>
      </w:r>
      <w:proofErr w:type="gramEnd"/>
      <w:r w:rsidRPr="004E4A69">
        <w:t xml:space="preserve"> ПЦР-теста.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>Ограничения по организации допуска посетителей, установленные настоящим подпунктом, не распространяются на организации и индивидуальных предпринимателей, оказывающих бытовые услуги, в зданиях, строениях, сооружениях (помещениях в них) площадью менее 100 кв. м.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 xml:space="preserve">2.10. С 15 ноября 2021 года осуществлять прием и размещение граждан (за исключением лиц, не достигших возраста 18 лет) в гостиницах, пансионатах, санаториях, базах отдыха и иных оказывающих аналогичные услуги средствах размещения при условии наличия у них QR-кода, сертификата, либо справки о вакцинации, о перенесенной новой </w:t>
      </w:r>
      <w:proofErr w:type="spellStart"/>
      <w:r w:rsidRPr="004E4A69">
        <w:t>коронавирусной</w:t>
      </w:r>
      <w:proofErr w:type="spellEnd"/>
      <w:r w:rsidRPr="004E4A69">
        <w:t xml:space="preserve"> инфекции, либо ПЦР-теста.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>2.11. Установить, что в период с 8 по 14 ноября 2021 года (включительно) в Брянской области: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lastRenderedPageBreak/>
        <w:t>2.11.1. Приостанавливается доступ посетителей и работников в здания, строения, сооружения (помещения в них), на территории, в которых осуществляется реализация товаров, выполнение работ, оказание услуг, в том числе: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>1) ресторанов, кафе, столовых, буфетов, баров, закусочных и иных предприятий общественного питания, в том числе в парках культуры и отдыха, за исключением: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>обслуживания на вынос без посещения гражданами помещений таких предприятий, а также доставки заказов;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>предприятий, оказывающих услуги общественного питания в гостиницах, хостелах и иных объектах размещения гражданам, проживающим в этих объектах размещения, при условии отсутствия доступа в такие помещения граждан, не проживающих в них;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>предприятий, оказывающих услуги общественного питания (в том числе столовых, буфетов, кафе) для работников организаций и индивидуальных предпринимателей, при условии отсутствия доступа в такие помещения граждан, не являющихся работниками;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>2) объектов розничной торговли, за исключением: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>аптек и аптечных пунктов;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>объектов розничной торговли в части реализации продовольственных товаров и (или) непродовольственных товаров первой необходимости, определенных распоряжением Правительства Российской Федерации от 27 марта 2020 года № 762-р;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>объектов розничной торговли в части продажи товаров дистанционным способом, в том числе с условием доставки;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>объектов розничной торговли в части реализации товаров для детей;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>3) организаций, индивидуальных предпринимателей, оказывающих бытовые услуги, за исключением обслуживания без посещения гражданами помещений таких предприятий;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>4) салонов красоты, косметических салонов, СПА-салонов, массажных салонов, соляриев, бань, саун и иных объектов, в которых оказываются подобные услуги;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 xml:space="preserve">5) физкультурно-оздоровительных комплексов, </w:t>
      </w:r>
      <w:proofErr w:type="gramStart"/>
      <w:r w:rsidRPr="004E4A69">
        <w:t>фитнес-клубов</w:t>
      </w:r>
      <w:proofErr w:type="gramEnd"/>
      <w:r w:rsidRPr="004E4A69">
        <w:t>, бассейнов;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>6) массовых физкультурных, спортивных мероприятий;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>7) организаций, индивидуальных предпринимателей, осуществляющих проведение досуговых, развлекательных, зрелищных, рекламных мероприятий, в том числе в парках культуры и отдыха, торгово-развлекательных центрах, на аттракционах, в ночных клубах, барах, на дискотеках, в караоке, в иных местах массового посещения граждан, а также игровых мероприятий, мастер-классов, иных подобных мероприятий с очным присутствием граждан;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>8) культурных, выставочных, просветительских мероприятий (в том числе выставочных залов, библиотек, лекций, тренингов);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>9) кинотеатров, театров, музеев, концертных залов, цирков, в том числе в целях проведения без участия зрителей репетиций творческих коллективов;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>10) детских игровых комнат, детских развлекательных центров, детских лагерей дневного пребывания, иных мест проведения подобных мероприятий для несовершеннолетних, в том числе в парках культуры и отдыха, торгово-развлекательных центрах.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>Ограничения, установленные настоящим подпунктом, не распространяются на организации и индивидуальных предпринимателей, оказывающих бытовые услуги в зданиях, строениях, сооружениях (помещениях в них) площадью менее 100 кв. м.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 xml:space="preserve">Ограничения, установленные настоящим подпунктом, не распространяются на организации, деятельность которых не может быть ограничена в соответствии с Указом Президента Российской Федерации от 11 мая 2020 года №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4E4A69">
        <w:t>коронавирусной</w:t>
      </w:r>
      <w:proofErr w:type="spellEnd"/>
      <w:r w:rsidRPr="004E4A69">
        <w:t xml:space="preserve"> инфекции (COVID-19)".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lastRenderedPageBreak/>
        <w:t>При этом организации и индивидуальные предприниматели вправе сохранить присутствие на соответствующих территориях, в зданиях, строениях, сооружениях (помещениях в них) лиц, обеспечивающих охрану и содержание указанных объектов, а также поддержание процессов, которые не могут быть приостановлены с учетом их технологических особенностей, лиц, обеспечивающих начисление и выплату заработной платы.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>2.11.2. Устанавливаются каникулы для обучающихся образовательных организаций, предоставляющих на территории Брянской области основное общее, среднее общее образование.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 xml:space="preserve">Посещение </w:t>
      </w:r>
      <w:proofErr w:type="gramStart"/>
      <w:r w:rsidRPr="004E4A69">
        <w:t>обучающимися</w:t>
      </w:r>
      <w:proofErr w:type="gramEnd"/>
      <w:r w:rsidRPr="004E4A69">
        <w:t xml:space="preserve"> образовательных организаций, предоставляющих дополнительное образование, в том числе осуществляющих спортивную подготовку, а также профессиональных образовательных организаций, реализующих программы среднего профессионального образования, осуществляется с применением электронного обучения и дистанционных образовательных технологий в порядке, определяемом администрацией образовательной организации.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>Данное ограничение не распространяется на образовательные организации, осуществляющие образовательную деятельность по дополнительным профессиональным программам, и организации, реализующие программы профессионального обучения водителей транспортных средств соответствующих категорий и подкатегорий (автошколы).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 xml:space="preserve">2.11.3. Допускается проведение при условии соблюдения всех санитарно-эпидемиологических требований по недопущению распространения новой </w:t>
      </w:r>
      <w:proofErr w:type="spellStart"/>
      <w:r w:rsidRPr="004E4A69">
        <w:t>коронавирусной</w:t>
      </w:r>
      <w:proofErr w:type="spellEnd"/>
      <w:r w:rsidRPr="004E4A69">
        <w:t xml:space="preserve"> инфекции (COVID-19) официальных мероприятий, организуемых органами государственной власти Брянской области, по согласованию с управлением </w:t>
      </w:r>
      <w:proofErr w:type="spellStart"/>
      <w:r w:rsidRPr="004E4A69">
        <w:t>Роспотребнадзора</w:t>
      </w:r>
      <w:proofErr w:type="spellEnd"/>
      <w:r w:rsidRPr="004E4A69">
        <w:t xml:space="preserve"> по Брянской области.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>2.11.4. Ограничения, установленные подпунктом 2.11.1 настоящего постановления, не распространяются на федеральные учреждения культуры и здравоохранения, осуществляющие деятельность на территории Брянской области.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>2.12. Департаменту культуры Брянской области, департаменту здравоохранения Брянской области в период с 8 по 14 ноября 2021 года (включительно) определить режим работы подведомственных организаций культуры и здравоохранения с учетом ограничений, установленных подпунктом 2.11 настоящего постановления</w:t>
      </w:r>
      <w:proofErr w:type="gramStart"/>
      <w:r w:rsidRPr="004E4A69">
        <w:t>.".</w:t>
      </w:r>
      <w:proofErr w:type="gramEnd"/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>1.2. В пункте 5 слова "</w:t>
      </w:r>
      <w:proofErr w:type="spellStart"/>
      <w:r w:rsidRPr="004E4A69">
        <w:t>Бардукову</w:t>
      </w:r>
      <w:proofErr w:type="spellEnd"/>
      <w:r w:rsidRPr="004E4A69">
        <w:t xml:space="preserve"> А.Н." заменить словами "</w:t>
      </w:r>
      <w:proofErr w:type="spellStart"/>
      <w:r w:rsidRPr="004E4A69">
        <w:t>Галаганову</w:t>
      </w:r>
      <w:proofErr w:type="spellEnd"/>
      <w:r w:rsidRPr="004E4A69">
        <w:t xml:space="preserve"> С.А.".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>1.3. В пункте 14 слова "Заместителю Губернатора Брянской области Коробко А.М." заменить словами "Администрации Губернатора Брянской области и Правительства Брянской области, департаменту внутренней политики Брянской области".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>2. Настоящее постановление вступает в силу после его официального опубликования.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>3. Опубликовать постановление на "</w:t>
      </w:r>
      <w:proofErr w:type="gramStart"/>
      <w:r w:rsidRPr="004E4A69">
        <w:t>Официальном</w:t>
      </w:r>
      <w:proofErr w:type="gramEnd"/>
      <w:r w:rsidRPr="004E4A69">
        <w:t xml:space="preserve"> интернет-портале правовой информации" (pravo.gov.ru).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t xml:space="preserve">4. </w:t>
      </w:r>
      <w:proofErr w:type="gramStart"/>
      <w:r w:rsidRPr="004E4A69">
        <w:t>Контроль за</w:t>
      </w:r>
      <w:proofErr w:type="gramEnd"/>
      <w:r w:rsidRPr="004E4A69">
        <w:t xml:space="preserve"> исполнением постановления оставляю за собой.</w:t>
      </w:r>
    </w:p>
    <w:p w:rsidR="004E4A69" w:rsidRPr="004E4A69" w:rsidRDefault="004E4A69" w:rsidP="004E4A69">
      <w:pPr>
        <w:spacing w:line="240" w:lineRule="atLeast"/>
        <w:ind w:firstLine="709"/>
        <w:jc w:val="both"/>
      </w:pPr>
      <w:r w:rsidRPr="004E4A69">
        <w:rPr>
          <w:b/>
          <w:bCs/>
        </w:rPr>
        <w:t xml:space="preserve">Губернатор </w:t>
      </w:r>
      <w:proofErr w:type="spellStart"/>
      <w:r w:rsidRPr="004E4A69">
        <w:rPr>
          <w:b/>
          <w:bCs/>
        </w:rPr>
        <w:t>А.В.Богомаз</w:t>
      </w:r>
      <w:proofErr w:type="spellEnd"/>
    </w:p>
    <w:p w:rsidR="004E4A69" w:rsidRPr="004E4A69" w:rsidRDefault="004E4A69" w:rsidP="004E4A69">
      <w:pPr>
        <w:spacing w:before="100" w:beforeAutospacing="1" w:after="100" w:afterAutospacing="1"/>
      </w:pPr>
    </w:p>
    <w:p w:rsidR="0033501D" w:rsidRDefault="0033501D"/>
    <w:sectPr w:rsidR="0033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69"/>
    <w:rsid w:val="00086CC4"/>
    <w:rsid w:val="0033501D"/>
    <w:rsid w:val="004E4A69"/>
    <w:rsid w:val="00A97C18"/>
    <w:rsid w:val="00C46A14"/>
    <w:rsid w:val="00E6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E4A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A69"/>
    <w:rPr>
      <w:b/>
      <w:bCs/>
      <w:kern w:val="36"/>
      <w:sz w:val="48"/>
      <w:szCs w:val="48"/>
    </w:rPr>
  </w:style>
  <w:style w:type="character" w:customStyle="1" w:styleId="b-material-headdate-day">
    <w:name w:val="b-material-head__date-day"/>
    <w:basedOn w:val="a0"/>
    <w:rsid w:val="004E4A69"/>
  </w:style>
  <w:style w:type="character" w:styleId="a3">
    <w:name w:val="Hyperlink"/>
    <w:basedOn w:val="a0"/>
    <w:uiPriority w:val="99"/>
    <w:unhideWhenUsed/>
    <w:rsid w:val="004E4A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4A6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E4A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E4A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A69"/>
    <w:rPr>
      <w:b/>
      <w:bCs/>
      <w:kern w:val="36"/>
      <w:sz w:val="48"/>
      <w:szCs w:val="48"/>
    </w:rPr>
  </w:style>
  <w:style w:type="character" w:customStyle="1" w:styleId="b-material-headdate-day">
    <w:name w:val="b-material-head__date-day"/>
    <w:basedOn w:val="a0"/>
    <w:rsid w:val="004E4A69"/>
  </w:style>
  <w:style w:type="character" w:styleId="a3">
    <w:name w:val="Hyperlink"/>
    <w:basedOn w:val="a0"/>
    <w:uiPriority w:val="99"/>
    <w:unhideWhenUsed/>
    <w:rsid w:val="004E4A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4A6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E4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2020/03/18/bryansk-post106-reg-dok.html" TargetMode="External"/><Relationship Id="rId5" Type="http://schemas.openxmlformats.org/officeDocument/2006/relationships/hyperlink" Target="https://rg.ru/2020/05/11/prezident-ukaz316-sit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2021-11-03T13:47:00Z</dcterms:created>
  <dcterms:modified xsi:type="dcterms:W3CDTF">2021-11-03T13:56:00Z</dcterms:modified>
</cp:coreProperties>
</file>